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697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50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/202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4</w:t>
      </w:r>
    </w:p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УИД № 86</w:t>
      </w:r>
      <w:r>
        <w:rPr>
          <w:rFonts w:ascii="Times New Roman" w:eastAsia="Times New Roman" w:hAnsi="Times New Roman" w:cs="Times New Roman"/>
          <w:sz w:val="28"/>
          <w:szCs w:val="28"/>
        </w:rPr>
        <w:t>MS</w:t>
      </w:r>
      <w:r>
        <w:rPr>
          <w:rFonts w:ascii="Times New Roman" w:eastAsia="Times New Roman" w:hAnsi="Times New Roman" w:cs="Times New Roman"/>
          <w:sz w:val="28"/>
          <w:szCs w:val="28"/>
        </w:rPr>
        <w:t>0015-01-202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-00</w:t>
      </w:r>
      <w:r>
        <w:rPr>
          <w:rFonts w:ascii="Times New Roman" w:eastAsia="Times New Roman" w:hAnsi="Times New Roman" w:cs="Times New Roman"/>
          <w:sz w:val="28"/>
          <w:szCs w:val="28"/>
        </w:rPr>
        <w:t>3765</w:t>
      </w:r>
      <w:r>
        <w:rPr>
          <w:rFonts w:ascii="Times New Roman" w:eastAsia="Times New Roman" w:hAnsi="Times New Roman" w:cs="Times New Roman"/>
          <w:sz w:val="28"/>
          <w:szCs w:val="28"/>
        </w:rPr>
        <w:t>-2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</w:p>
    <w:p>
      <w:pPr>
        <w:widowControl w:val="0"/>
        <w:spacing w:before="0" w:after="0"/>
        <w:rPr>
          <w:sz w:val="28"/>
          <w:szCs w:val="28"/>
        </w:rPr>
      </w:pPr>
    </w:p>
    <w:p>
      <w:pPr>
        <w:widowControl w:val="0"/>
        <w:spacing w:before="0" w:after="0" w:line="317" w:lineRule="atLeast"/>
        <w:ind w:left="797" w:right="499" w:hanging="797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делу об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>
      <w:pPr>
        <w:widowControl w:val="0"/>
        <w:spacing w:before="0" w:after="0" w:line="317" w:lineRule="atLeast"/>
        <w:ind w:right="499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11 июня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г.п</w:t>
      </w:r>
      <w:r>
        <w:rPr>
          <w:rFonts w:ascii="Times New Roman" w:eastAsia="Times New Roman" w:hAnsi="Times New Roman" w:cs="Times New Roman"/>
          <w:sz w:val="28"/>
          <w:szCs w:val="28"/>
        </w:rPr>
        <w:t>. Лянтор</w:t>
      </w:r>
    </w:p>
    <w:p>
      <w:pPr>
        <w:widowControl w:val="0"/>
        <w:spacing w:before="0" w:after="0" w:line="317" w:lineRule="atLeast"/>
        <w:ind w:left="58" w:right="29" w:firstLine="67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>Ирина Петровна Кравцова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 w:line="317" w:lineRule="atLeast"/>
        <w:ind w:left="10" w:right="29"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адрес: ХМАО</w:t>
      </w:r>
      <w:r>
        <w:rPr>
          <w:rFonts w:ascii="Times New Roman" w:eastAsia="Times New Roman" w:hAnsi="Times New Roman" w:cs="Times New Roman"/>
          <w:sz w:val="28"/>
          <w:szCs w:val="28"/>
        </w:rPr>
        <w:t>-Югра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Тюменская область, Сургутский район, г. Лянтор, ул. Салавата Юлаева, д. 13, </w:t>
      </w:r>
    </w:p>
    <w:p>
      <w:pPr>
        <w:widowControl w:val="0"/>
        <w:spacing w:before="0" w:after="0" w:line="317" w:lineRule="atLeast"/>
        <w:ind w:left="10" w:right="29"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участием Жарникова А.Н. , действующего на основании доверенности № 2Б116 от 16.01.2024 г. и Кондратьевой О.А. , действующей на основании доверенности </w:t>
      </w:r>
      <w:r>
        <w:rPr>
          <w:rFonts w:ascii="Times New Roman" w:eastAsia="Times New Roman" w:hAnsi="Times New Roman" w:cs="Times New Roman"/>
          <w:sz w:val="28"/>
          <w:szCs w:val="28"/>
        </w:rPr>
        <w:t>№ 2Б11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16.01.2024 г.</w:t>
      </w:r>
    </w:p>
    <w:p>
      <w:pPr>
        <w:widowControl w:val="0"/>
        <w:spacing w:before="0" w:after="0" w:line="317" w:lineRule="atLeast"/>
        <w:ind w:left="10" w:right="10" w:firstLine="7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материалы дела об административном правонарушении, предусмотренном ч. 1 ст. 20.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5 Кодекса Российской Федерации об административных правонарушениях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 w:line="317" w:lineRule="atLeast"/>
        <w:ind w:left="10" w:right="10" w:firstLine="7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должностного лица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Аджимурзаевой Залины Мавлимбердиевны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38rplc-14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widowControl w:val="0"/>
        <w:spacing w:before="0" w:after="0" w:line="317" w:lineRule="atLeast"/>
        <w:ind w:left="10" w:right="10" w:firstLine="7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ранее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>привлекавше</w:t>
      </w:r>
      <w:r>
        <w:rPr>
          <w:rFonts w:ascii="Times New Roman" w:eastAsia="Times New Roman" w:hAnsi="Times New Roman" w:cs="Times New Roman"/>
          <w:sz w:val="28"/>
          <w:szCs w:val="28"/>
        </w:rPr>
        <w:t>йся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административной ответственности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>за административные правонарушения, предусмотренные Главой 20 Кодекса Российской Федерации об административных правонарушениях.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Лицу, в отношении которого ведется производство по делу об административном правонарушении, </w:t>
      </w:r>
      <w:r>
        <w:rPr>
          <w:rFonts w:ascii="Times New Roman" w:eastAsia="Times New Roman" w:hAnsi="Times New Roman" w:cs="Times New Roman"/>
          <w:sz w:val="28"/>
          <w:szCs w:val="28"/>
        </w:rPr>
        <w:t>разъяснены права, предусмотренные ст. 25.1 Кодекса Российской Федерации об 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дминистративных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888"/>
        <w:jc w:val="center"/>
        <w:rPr>
          <w:sz w:val="28"/>
          <w:szCs w:val="28"/>
        </w:rPr>
      </w:pPr>
    </w:p>
    <w:p>
      <w:pPr>
        <w:widowControl w:val="0"/>
        <w:spacing w:before="0" w:after="0"/>
        <w:ind w:firstLine="888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widowControl w:val="0"/>
        <w:spacing w:before="0" w:after="0"/>
        <w:ind w:firstLine="888"/>
        <w:jc w:val="center"/>
        <w:rPr>
          <w:sz w:val="28"/>
          <w:szCs w:val="28"/>
        </w:rPr>
      </w:pPr>
    </w:p>
    <w:p>
      <w:pPr>
        <w:widowControl w:val="0"/>
        <w:spacing w:before="0" w:after="0" w:line="283" w:lineRule="atLeast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в </w:t>
      </w:r>
      <w:r>
        <w:rPr>
          <w:rFonts w:ascii="Times New Roman" w:eastAsia="Times New Roman" w:hAnsi="Times New Roman" w:cs="Times New Roman"/>
          <w:sz w:val="28"/>
          <w:szCs w:val="28"/>
        </w:rPr>
        <w:t>09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 </w:t>
      </w:r>
      <w:r>
        <w:rPr>
          <w:rFonts w:ascii="Times New Roman" w:eastAsia="Times New Roman" w:hAnsi="Times New Roman" w:cs="Times New Roman"/>
          <w:sz w:val="28"/>
          <w:szCs w:val="28"/>
        </w:rPr>
        <w:t>в торговом объекте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-магазин смешанных товаров « Обь» , расположенного по адресу ХМАО-Югра Сургутский район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г.п. Лянтор </w:t>
      </w:r>
      <w:r>
        <w:rPr>
          <w:rFonts w:ascii="Times New Roman" w:eastAsia="Times New Roman" w:hAnsi="Times New Roman" w:cs="Times New Roman"/>
          <w:sz w:val="28"/>
          <w:szCs w:val="28"/>
        </w:rPr>
        <w:t>мкр. 2 стр. 58/1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, по адресу </w:t>
      </w:r>
      <w:r>
        <w:rPr>
          <w:rFonts w:ascii="Times New Roman" w:eastAsia="Times New Roman" w:hAnsi="Times New Roman" w:cs="Times New Roman"/>
          <w:sz w:val="28"/>
          <w:szCs w:val="28"/>
        </w:rPr>
        <w:t>ХМАО-Югра Сургутский район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г.п. Лянтор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микрорайон-6а,дом-101 квартира-68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требования постановления Правительства РФ от </w:t>
      </w:r>
      <w:r>
        <w:rPr>
          <w:rFonts w:ascii="Times New Roman" w:eastAsia="Times New Roman" w:hAnsi="Times New Roman" w:cs="Times New Roman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0.201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eastAsia="Times New Roman" w:hAnsi="Times New Roman" w:cs="Times New Roman"/>
          <w:sz w:val="28"/>
          <w:szCs w:val="28"/>
        </w:rPr>
        <w:t>273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«Об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утверждении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требований к антитеррористической защищенности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торговых объектов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(территорий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формы паспорта безопасности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торгового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объект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(территорий)»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ПП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1273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соблюдаются не в полном объеме: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осуществляются организационные мероприятия по обеспечению антитеррористической защищенности торгового объекта (территории): не разработаны организационно-распорядительные документы по организации охраны, пропускного и внутриобъектового режимов на торговом объекте (территории) - на торговом объекте не разработано Положение об обеспечении внутриобъектового и пропускного режима, то есть нарушение пп. «а» п. 28; не осуществляется информирование работников торгового объекта (территории) о требованиях к антитеррористической защищенности торгового объекта (территории) и содержании организационно-распорядительных документов в отношении пропускного и внутриобъектового режимов (при их установлении) на торговом объекте (территории) — работники торгового объекта не ознакомлены с имеющимися на торговом объекте инструкциями по действиям при возникновении чрезвычайных ситуаций, то есть нарушение пп. «д» п. 28; отсутствие системы оповещения и управления эвакуацией, то есть нарушение пп «б» п. 30, п. 32 ПП 1273; на торговом объекте не организована физическая охрана, к обеспечению которой привлекаются специализированные организации в порядке, установленном законодательством Российской Федерации, то есть нарушение п. 34 ПП 1273.</w:t>
      </w:r>
    </w:p>
    <w:p>
      <w:pPr>
        <w:widowControl w:val="0"/>
        <w:spacing w:before="0" w:after="0"/>
        <w:ind w:firstLine="67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Аджимурзаев</w:t>
      </w:r>
      <w:r>
        <w:rPr>
          <w:rFonts w:ascii="Times New Roman" w:eastAsia="Times New Roman" w:hAnsi="Times New Roman" w:cs="Times New Roman"/>
          <w:sz w:val="28"/>
          <w:szCs w:val="28"/>
        </w:rPr>
        <w:t>а З.М.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надлежаще извещен о времени и месте рассмотрения дела ( судебная повестка )в судебное заседание не явился, заявлений о рассмотрении дела в его отсутствие не предоставил. Согласно извещения о доставке телеграммы, двери закрыты оставлено извещение ,за телеграммой не является.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п. 6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Постановление Пленума Верховного Суда РФ от 24 марта 2005 г. N 5 "О некоторых вопросах, возникающих у судов при применении Кодекса Российской Федерации об административных правонарушениях" (с изменениями и дополнениями)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В целях соблюдения установленных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статьей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29.6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 сроков рассмотрения дел об административных правонарушениях судье необходимо принимать меры для быстрого извещения участвующих в деле лиц о времени и месте судебного рассмотрения. Поскольку </w:t>
      </w:r>
      <w:hyperlink r:id="rId6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КоАП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РФ не содержит каких-либо ограничений, связанных с таким извещением, оно в зависимости от конкретных обстоятельств дела может быть произведено с использованием любых доступных средств связи, позволяющих контролировать получение информации лицом, которому оно направлено (судебной повесткой, телеграммой, телефонограммой, факсимильной связью и т.п., посредством СМС - сообщения, в случае согласия лица на уведомление таким способом и при фиксации факта отправки и доставки СМС- извещения адресату).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</w:t>
      </w:r>
      <w:hyperlink r:id="rId7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Особых условий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приема, вручения, хранения и возврата почтовых отправлений разряда "Судебное", утвержденных </w:t>
      </w:r>
      <w:hyperlink r:id="rId8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приказом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ФГУП "Почта России" от 31 августа 2005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года N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343.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Указанные выше обстоятельства свидетельствуют о том, что </w:t>
      </w:r>
      <w:r>
        <w:rPr>
          <w:rFonts w:ascii="Times New Roman" w:eastAsia="Times New Roman" w:hAnsi="Times New Roman" w:cs="Times New Roman"/>
          <w:sz w:val="28"/>
          <w:szCs w:val="28"/>
        </w:rPr>
        <w:t>Аджимурзаева З.М.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е пожелал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добросовестно воспользоваться правами, предусмотренными ст.25.1 Кодекса Российской Федерации об административных правонарушениях, и уклоняется от явки мировому судье для рассмотрения дела об административном правонарушении, т.е. злоупотребляет предусмотренными законом процессуальными правами.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Суд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Аджимурзаев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по имеющимся в деле доказательствам.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Аджимурзаевой З.М.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 правонарушения,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предусмотренного ч.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20.</w:t>
      </w:r>
      <w:r>
        <w:rPr>
          <w:rFonts w:ascii="Times New Roman" w:eastAsia="Times New Roman" w:hAnsi="Times New Roman" w:cs="Times New Roman"/>
          <w:sz w:val="28"/>
          <w:szCs w:val="28"/>
        </w:rPr>
        <w:t>35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 подтверждается следующими доказательствами: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-Протоколом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г./л.д.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/, Выпиской из ЕГРН /л.д.</w:t>
      </w:r>
      <w:r>
        <w:rPr>
          <w:rFonts w:ascii="Times New Roman" w:eastAsia="Times New Roman" w:hAnsi="Times New Roman" w:cs="Times New Roman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sz w:val="28"/>
          <w:szCs w:val="28"/>
        </w:rPr>
        <w:t>/,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видетельством о постановке на учет/л.д.2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/,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приказом о проведении плановой проверки антитеррористической защищенности торговых объектов № 22-АТЗ-114 от 23.04.2024 г. /л.д.</w:t>
      </w:r>
      <w:r>
        <w:rPr>
          <w:rFonts w:ascii="Times New Roman" w:eastAsia="Times New Roman" w:hAnsi="Times New Roman" w:cs="Times New Roman"/>
          <w:sz w:val="28"/>
          <w:szCs w:val="28"/>
        </w:rPr>
        <w:t>22-23/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Актом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плановой проверки состояния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антитеррористической защищенности торговых объектов </w:t>
      </w:r>
      <w:r>
        <w:rPr>
          <w:rFonts w:ascii="Times New Roman" w:eastAsia="Times New Roman" w:hAnsi="Times New Roman" w:cs="Times New Roman"/>
          <w:sz w:val="28"/>
          <w:szCs w:val="28"/>
        </w:rPr>
        <w:t>от 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г./л.д.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28/.</w:t>
      </w:r>
    </w:p>
    <w:p>
      <w:pPr>
        <w:widowControl w:val="0"/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Требования к антитеррористической защищенности торговых объектов (территорий) утверждены ПП 1273.</w:t>
      </w:r>
    </w:p>
    <w:p>
      <w:pPr>
        <w:widowControl w:val="0"/>
        <w:spacing w:before="0" w:after="0"/>
        <w:ind w:firstLine="73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требованиям п. 3 ПП 1273, ответственность за обеспечение антитеррористической защищенности торговых объектов (территорий) возлагается на юридических и физических лиц, владеющих на праве собственности хозяйственного ведения или оперативного управления земельными участками, зданиями, строениями, сооружениями и помещениями, используемыми для размещения торговых объектов (территорий), или использующих земельные участки, здания, строения, сооружения и помещения для размещения торговых объектов (территорий) на ином законном основании , а также на должностных лиц, осуществляющих непосредственное руководство деятельностью работников торговых объектов (территорий).</w:t>
      </w:r>
    </w:p>
    <w:p>
      <w:pPr>
        <w:widowControl w:val="0"/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п. 27 ПП 1273 антитеррористическая защищенность торгового объекта (территории) независимо от его категории обеспечивается путем:</w:t>
      </w:r>
    </w:p>
    <w:p>
      <w:pPr>
        <w:widowControl w:val="0"/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проведения необходимых организационных мероприятий по обеспечению антитеррористической защищенности торгового объекта (территории);</w:t>
      </w:r>
    </w:p>
    <w:p>
      <w:pPr>
        <w:widowControl w:val="0"/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определения и устранения причин и условий, способствующих совершению на торговом объекте (территории) террористического акта;</w:t>
      </w:r>
    </w:p>
    <w:p>
      <w:pPr>
        <w:widowControl w:val="0"/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применения современных информационно-коммуникационных технологий для обеспечения безопасности торгового объекта (территории);</w:t>
      </w:r>
    </w:p>
    <w:p>
      <w:pPr>
        <w:widowControl w:val="0"/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оборудования торгового объекта (территории) необходимыми инженерно-техническими средствами охраны;</w:t>
      </w:r>
    </w:p>
    <w:p>
      <w:pPr>
        <w:widowControl w:val="0"/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д) контроля за соблюдением требований к обеспечению антитеррористической защищенности торгового объекта (территории);</w:t>
      </w:r>
    </w:p>
    <w:p>
      <w:pPr>
        <w:widowControl w:val="0"/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е) обеспечения готовности подразделений охраны и работников торгового объекта (территории) к действиям при угрозе совершения и при совершении на нем террористического акта.</w:t>
      </w:r>
    </w:p>
    <w:p>
      <w:pPr>
        <w:widowControl w:val="0"/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п. 28 ПП 1273 организационные мероприятия по обеспечению антитеррористической защищенности торгового объекта (территории) включают в себя:</w:t>
      </w:r>
    </w:p>
    <w:p>
      <w:pPr>
        <w:widowControl w:val="0"/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разработку организационно-распорядительных документов по организации охраны, пропускного и внутриобъектового режимов на торговом объекте (территории); </w:t>
      </w:r>
    </w:p>
    <w:p>
      <w:pPr>
        <w:widowControl w:val="0"/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определение должностных лиц, ответственных за антитеррористическую защищенность торгового объекта (территории) и его критических элементов; </w:t>
      </w:r>
    </w:p>
    <w:p>
      <w:pPr>
        <w:widowControl w:val="0"/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проведение учений и (или) тренировок с работниками торгового объекта (территории) по подготовке к действиям при угрозе совершения и при совершении террористического акта на торговом объекте (территории); </w:t>
      </w:r>
    </w:p>
    <w:p>
      <w:pPr>
        <w:widowControl w:val="0"/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контроль за выполнением требований к обеспечению охраны и защиты торгового объекта (территории), а также за уровнем подготовленности подразделения охраны торгового объекта (территории) (при их наличии) к действиям при угрозе совершения и при совершении террористического акта на торговом объекте (территории); </w:t>
      </w:r>
    </w:p>
    <w:p>
      <w:pPr>
        <w:widowControl w:val="0"/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д) информирование работников торгового объекта (территории) о требованиях к антитеррористической защищенности торгового объекта (территории) и содержании организационно-распорядительных документов в отношении пропускного и внутриобъектового режимов (при их установлении) на торговом объекте (территории). </w:t>
      </w:r>
    </w:p>
    <w:p>
      <w:pPr>
        <w:widowControl w:val="0"/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пп. «б» п. 30 ПП 1273 торговый объект (территория) независимо от его категории оборудуется системой оповещения и управления эвакуацией. Согласно п. 32 ПП 1273 система оповещения на торговом объекте (территории) должна обеспечивать оперативное информирование людей об угрозе совершения или о совершении на торговом объекте (территории) террористического акта. Имеющаяся на торговом объекте автоматическая система пожарной сигнализации и оповещения людей о пожаре не имеет возможности использования микрофона и не обеспечивает оперативное информирование людей об угрозе совершения или о совершении на торговом объекте террористического акта.</w:t>
      </w:r>
    </w:p>
    <w:p>
      <w:pPr>
        <w:widowControl w:val="0"/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п. 34 ПП 1273 в целях обеспечения антитеррористической защищенности торгового объекта (территории) первой или второй категории правообладателем торгового объекта (территории) организуется его физическая охрана.</w:t>
      </w:r>
    </w:p>
    <w:p>
      <w:pPr>
        <w:widowControl w:val="0"/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обеспечению физической охраны торгового объекта (территории) привлекаются специализированные организации в порядке, установленном законодательством Российской Федерации.</w:t>
      </w:r>
    </w:p>
    <w:p>
      <w:pPr>
        <w:widowControl w:val="0"/>
        <w:spacing w:before="0" w:after="0" w:line="28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Невыполнение требований к антитер</w:t>
      </w:r>
      <w:r>
        <w:rPr>
          <w:rFonts w:ascii="Times New Roman" w:eastAsia="Times New Roman" w:hAnsi="Times New Roman" w:cs="Times New Roman"/>
          <w:sz w:val="28"/>
          <w:szCs w:val="28"/>
        </w:rPr>
        <w:t>рористической защищенности объекта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магазина смешанных товаров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«Обь» свидетельствует о нарушении законодательства о противодействии терроризму, создает угрозу жизни и здоровью неопределенного круга лиц, невозможность своевременного предупреждения и устранения последствий совершения террористического акта, противоречит охраняемым законом интересам общества и государства.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Доказательства были судом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оценены в совокупности с другими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атери</w:t>
      </w:r>
      <w:r>
        <w:rPr>
          <w:rFonts w:ascii="Times New Roman" w:eastAsia="Times New Roman" w:hAnsi="Times New Roman" w:cs="Times New Roman"/>
          <w:sz w:val="28"/>
          <w:szCs w:val="28"/>
        </w:rPr>
        <w:t>алами дела об административном правонарушении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требованиями ст. 26.11 Кодекса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оссийской Федерации 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с позиции соблюдения требований закона при их получении ч. 3 ст.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26.2 Кодекса Российской Федерации об административных правонарушения,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Исследовав, материалы административного дела,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выслушав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мнение должностных лиц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инспектора группы организации охраны объектов подлежащих обязательной охране Жарникова А.Н.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старшего инспектора группы организации охраны объектов подлежащих обязательной охране ФГКУ «УВО ВНГ России по Ханты-Мансийскому округу—Югре» Кондратьевой О.А. , полагавших , что вина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Аджимурзаев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полностью доказана собранными по делу доказательствами и просят привлечь её к административной ответственности в виде административного штрафа 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судья приходит к выводу, что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Аджимурзаевой З.М.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ч. 1 ст. 20.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Нарушение </w:t>
      </w:r>
      <w:hyperlink r:id="rId9" w:anchor="/multilink/12125267/paragraph/9252/number/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требований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антитеррористической защищенности объектов (территорий)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эти действия не содержат признаков уголовно наказуемого деяния, </w:t>
      </w:r>
      <w:r>
        <w:rPr>
          <w:rFonts w:ascii="Times New Roman" w:eastAsia="Times New Roman" w:hAnsi="Times New Roman" w:cs="Times New Roman"/>
          <w:sz w:val="28"/>
          <w:szCs w:val="28"/>
        </w:rPr>
        <w:t>- доказан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Аджимурзаевой З.М.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sz w:val="28"/>
          <w:szCs w:val="28"/>
        </w:rPr>
        <w:t>дья квалифицирует по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 КоАП РФ,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арушение </w:t>
      </w:r>
      <w:hyperlink r:id="rId9" w:anchor="/multilink/12125267/paragraph/9252/number/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требований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 антитеррористической защищенности объектов (территорий)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эти действия не содержат призна</w:t>
      </w:r>
      <w:r>
        <w:rPr>
          <w:rFonts w:ascii="Times New Roman" w:eastAsia="Times New Roman" w:hAnsi="Times New Roman" w:cs="Times New Roman"/>
          <w:sz w:val="28"/>
          <w:szCs w:val="28"/>
        </w:rPr>
        <w:t>ков уголовно наказуемого деяния.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ч. 1 ст. 20.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 Кодекса Российской Федерации об административных правонарушениях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Нарушение </w:t>
      </w:r>
      <w:hyperlink r:id="rId9" w:anchor="/multilink/12125267/paragraph/9252/number/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требований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антитеррористической защищенности объектов (территорий) либо воспрепятствование деятельности лица по осуществлению возложенной на него обязанности по выполнению или обеспечению требований к антитеррористической защищенности объектов (территорий), за исключением случаев, предусмотренных </w:t>
      </w:r>
      <w:hyperlink r:id="rId9" w:anchor="/document/12125267/entry/203502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частью 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настоящей статьи, </w:t>
      </w:r>
      <w:hyperlink r:id="rId9" w:anchor="/document/12125267/entry/1115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статьями 11.15.1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9" w:anchor="/document/12125267/entry/203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20.30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настоящего Кодекса, если эти действия не содержат признаков уголовно наказуемого деяния, - влечет наложение административного штрафа на граждан в размере от трех тысяч до пяти тысяч рублей; на должностных лиц - от тридцати тысяч до пятидесяти тысяч рублей или дисквалификацию на срок от шести месяцев до трех лет; на юридических лиц - от ста тысяч до пятисот тысяч рублей.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тоятельств, смягчающих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либо отягчающих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административную ответственность, в соответствии ст. 4.2</w:t>
      </w:r>
      <w:r>
        <w:rPr>
          <w:rFonts w:ascii="Times New Roman" w:eastAsia="Times New Roman" w:hAnsi="Times New Roman" w:cs="Times New Roman"/>
          <w:sz w:val="28"/>
          <w:szCs w:val="28"/>
        </w:rPr>
        <w:t>, 4.3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правонарушениях, судом не установлено.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лица привлеченного к административной ответственности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приходит к выводу необходимым назначить наказание в виде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 штрафа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которое обеспечит реализацию задач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ст. 29.7; 29.11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/>
        <w:ind w:firstLine="72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Должностное лицо </w:t>
      </w:r>
      <w:r>
        <w:rPr>
          <w:rFonts w:ascii="Times New Roman" w:eastAsia="Times New Roman" w:hAnsi="Times New Roman" w:cs="Times New Roman"/>
          <w:sz w:val="28"/>
          <w:szCs w:val="28"/>
        </w:rPr>
        <w:t>Аджимурзаев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Залин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Мавлимбердиевн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ч. 1 ст. 20.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 Кодекса Российской Федерации об административных правонарушениях, и назначить административное наказание в виде административного штрафа в сумме </w:t>
      </w:r>
      <w:r>
        <w:rPr>
          <w:rFonts w:ascii="Times New Roman" w:eastAsia="Times New Roman" w:hAnsi="Times New Roman" w:cs="Times New Roman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.00 /</w:t>
      </w:r>
      <w:r>
        <w:rPr>
          <w:rFonts w:ascii="Times New Roman" w:eastAsia="Times New Roman" w:hAnsi="Times New Roman" w:cs="Times New Roman"/>
          <w:sz w:val="28"/>
          <w:szCs w:val="28"/>
        </w:rPr>
        <w:t>тридцать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тысяч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/ рублей.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Аджимурзаевой З.М.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 в течение 60 дней с момента вступления постановления в законную силу.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Штраф необходимо оплатить: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УФК по Ханты-Мансийскому автономному округу - Югре (Департамент административного обеспечения Ханты-Мансийского автономного округа-Югры, л/с 04872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08080), ИНН/КПП 8601073664/860101001, ОКТМО 71826000, № счета получателя: 03100643000000018700, кор. сч. 40102810245370000007, РКЦ Ханты-Мансийск,//УФК по ХМАО-Югре БИК 007162163, КБК 72011601203019000140, УИН 04123654001550070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697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38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, наименование платежа 5-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69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7-1504/2024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 </w:t>
      </w:r>
      <w:r>
        <w:rPr>
          <w:rFonts w:ascii="Times New Roman" w:eastAsia="Times New Roman" w:hAnsi="Times New Roman" w:cs="Times New Roman"/>
          <w:sz w:val="28"/>
          <w:szCs w:val="28"/>
        </w:rPr>
        <w:t>лицу, привлеченному к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>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>
      <w:pPr>
        <w:widowControl w:val="0"/>
        <w:spacing w:before="0" w:after="0" w:line="322" w:lineRule="atLeast"/>
        <w:ind w:firstLine="71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ч. 1 ст. 31.9 Кодекса Российской Федерации об административных правонарушениях, постановление о назначении административного наказания 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подлежит исполнению в случае, если это постановление не было приведено в </w:t>
      </w:r>
      <w:r>
        <w:rPr>
          <w:rFonts w:ascii="Times New Roman" w:eastAsia="Times New Roman" w:hAnsi="Times New Roman" w:cs="Times New Roman"/>
          <w:sz w:val="28"/>
          <w:szCs w:val="28"/>
        </w:rPr>
        <w:t>исполнение в течение двух лет со дня его вступления в законную силу.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районный суд в течение 10 суток через судью, вынесшего постановление.</w:t>
      </w:r>
    </w:p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И.П. Кравцова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Копия верна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sectPr>
      <w:headerReference w:type="default" r:id="rId10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0904373"/>
      <w:placeholder>
        <w:docPart w:val="DefaultPlaceholder_22675703"/>
      </w:placeholder>
      <w:showingPlcHdr/>
      <w:richText/>
    </w:sdtPr>
    <w:sdtContent>
      <w:p>
        <w:pPr>
          <w:widowControl w:val="0"/>
          <w:spacing w:before="0" w:after="0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>
          <w:rPr>
            <w:rFonts w:ascii="Times New Roman" w:eastAsia="Times New Roman" w:hAnsi="Times New Roman" w:cs="Times New Roman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sz w:val="20"/>
            <w:szCs w:val="20"/>
          </w:rPr>
          <w:fldChar w:fldCharType="end"/>
        </w:r>
      </w:p>
    </w:sdtContent>
  </w:sdt>
  <w:p>
    <w:pPr>
      <w:widowControl w:val="0"/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UserDefinedgrp-38rplc-14">
    <w:name w:val="cat-UserDefined grp-38 rplc-1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glossaryDocument" Target="glossary/document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39487.0" TargetMode="External" /><Relationship Id="rId5" Type="http://schemas.openxmlformats.org/officeDocument/2006/relationships/hyperlink" Target="garantF1://12025267.296" TargetMode="External" /><Relationship Id="rId6" Type="http://schemas.openxmlformats.org/officeDocument/2006/relationships/hyperlink" Target="garantF1://12025267.0" TargetMode="External" /><Relationship Id="rId7" Type="http://schemas.openxmlformats.org/officeDocument/2006/relationships/hyperlink" Target="garantF1://70203344.1000" TargetMode="External" /><Relationship Id="rId8" Type="http://schemas.openxmlformats.org/officeDocument/2006/relationships/hyperlink" Target="garantF1://70203344.0" TargetMode="External" /><Relationship Id="rId9" Type="http://schemas.openxmlformats.org/officeDocument/2006/relationships/hyperlink" Target="https://internet.garant.ru/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223A1-E4F6-492B-B0AA-5E66050AEE7B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